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92" w:rsidRDefault="00602ED0" w:rsidP="00B20692">
      <w:pPr>
        <w:jc w:val="center"/>
        <w:rPr>
          <w:rFonts w:asciiTheme="majorHAnsi" w:hAnsiTheme="majorHAnsi" w:cstheme="majorHAnsi"/>
          <w:sz w:val="32"/>
          <w:szCs w:val="32"/>
        </w:rPr>
      </w:pPr>
      <w:r w:rsidRPr="00253950">
        <w:rPr>
          <w:rFonts w:asciiTheme="majorHAnsi" w:hAnsiTheme="majorHAnsi" w:cstheme="majorHAnsi"/>
          <w:sz w:val="32"/>
          <w:szCs w:val="32"/>
        </w:rPr>
        <w:t xml:space="preserve">Group </w:t>
      </w:r>
      <w:proofErr w:type="gramStart"/>
      <w:r w:rsidRPr="00253950">
        <w:rPr>
          <w:rFonts w:asciiTheme="majorHAnsi" w:hAnsiTheme="majorHAnsi" w:cstheme="majorHAnsi"/>
          <w:sz w:val="32"/>
          <w:szCs w:val="32"/>
        </w:rPr>
        <w:t>A</w:t>
      </w:r>
      <w:proofErr w:type="gramEnd"/>
      <w:r w:rsidRPr="00253950">
        <w:rPr>
          <w:rFonts w:asciiTheme="majorHAnsi" w:hAnsiTheme="majorHAnsi" w:cstheme="majorHAnsi"/>
          <w:sz w:val="32"/>
          <w:szCs w:val="32"/>
        </w:rPr>
        <w:t xml:space="preserve"> – Practice</w:t>
      </w:r>
    </w:p>
    <w:p w:rsidR="00B20692" w:rsidRPr="00253950" w:rsidRDefault="00B20692" w:rsidP="00B20692">
      <w:pPr>
        <w:jc w:val="center"/>
        <w:rPr>
          <w:rFonts w:asciiTheme="majorHAnsi" w:hAnsiTheme="majorHAnsi" w:cstheme="majorHAnsi"/>
          <w:sz w:val="32"/>
          <w:szCs w:val="32"/>
        </w:rPr>
      </w:pPr>
    </w:p>
    <w:p w:rsidR="00253950" w:rsidRDefault="005745FA" w:rsidP="00B20692">
      <w:pPr>
        <w:jc w:val="center"/>
        <w:rPr>
          <w:rFonts w:asciiTheme="majorHAnsi" w:hAnsiTheme="majorHAnsi" w:cstheme="majorHAnsi"/>
          <w:sz w:val="32"/>
          <w:szCs w:val="32"/>
        </w:rPr>
      </w:pPr>
      <w:r>
        <w:rPr>
          <w:noProof/>
        </w:rPr>
        <w:drawing>
          <wp:inline distT="0" distB="0" distL="0" distR="0" wp14:anchorId="06D1AFFD" wp14:editId="35593781">
            <wp:extent cx="4043870" cy="1155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90644" cy="1169068"/>
                    </a:xfrm>
                    <a:prstGeom prst="rect">
                      <a:avLst/>
                    </a:prstGeom>
                  </pic:spPr>
                </pic:pic>
              </a:graphicData>
            </a:graphic>
          </wp:inline>
        </w:drawing>
      </w:r>
    </w:p>
    <w:p w:rsidR="00253950" w:rsidRPr="00253950" w:rsidRDefault="00253950" w:rsidP="00B20692">
      <w:pPr>
        <w:spacing w:before="240" w:after="240" w:line="276" w:lineRule="auto"/>
        <w:rPr>
          <w:rFonts w:asciiTheme="majorHAnsi" w:hAnsiTheme="majorHAnsi" w:cstheme="majorHAnsi"/>
        </w:rPr>
      </w:pPr>
      <w:r w:rsidRPr="00253950">
        <w:rPr>
          <w:rFonts w:asciiTheme="majorHAnsi" w:hAnsiTheme="majorHAnsi" w:cstheme="majorHAnsi"/>
        </w:rPr>
        <w:t>If you ask any athlete to define practice, they may not be able</w:t>
      </w:r>
      <w:r w:rsidRPr="00253950">
        <w:rPr>
          <w:rFonts w:asciiTheme="majorHAnsi" w:hAnsiTheme="majorHAnsi" w:cstheme="majorHAnsi"/>
        </w:rPr>
        <w:t xml:space="preserve"> </w:t>
      </w:r>
      <w:r w:rsidRPr="00253950">
        <w:rPr>
          <w:rFonts w:asciiTheme="majorHAnsi" w:hAnsiTheme="majorHAnsi" w:cstheme="majorHAnsi"/>
        </w:rPr>
        <w:t>to tell you the exact dictionary definition, but they certainly know</w:t>
      </w:r>
      <w:r w:rsidRPr="00253950">
        <w:rPr>
          <w:rFonts w:asciiTheme="majorHAnsi" w:hAnsiTheme="majorHAnsi" w:cstheme="majorHAnsi"/>
        </w:rPr>
        <w:t xml:space="preserve"> </w:t>
      </w:r>
      <w:r w:rsidRPr="00253950">
        <w:rPr>
          <w:rFonts w:asciiTheme="majorHAnsi" w:hAnsiTheme="majorHAnsi" w:cstheme="majorHAnsi"/>
        </w:rPr>
        <w:t>that practice is critical for learning and improving skills. A softball</w:t>
      </w:r>
      <w:r w:rsidRPr="00253950">
        <w:rPr>
          <w:rFonts w:asciiTheme="majorHAnsi" w:hAnsiTheme="majorHAnsi" w:cstheme="majorHAnsi"/>
        </w:rPr>
        <w:t xml:space="preserve"> </w:t>
      </w:r>
      <w:r w:rsidRPr="00253950">
        <w:rPr>
          <w:rFonts w:asciiTheme="majorHAnsi" w:hAnsiTheme="majorHAnsi" w:cstheme="majorHAnsi"/>
        </w:rPr>
        <w:t xml:space="preserve">pitcher may practice her </w:t>
      </w:r>
      <w:proofErr w:type="spellStart"/>
      <w:r w:rsidRPr="00253950">
        <w:rPr>
          <w:rFonts w:asciiTheme="majorHAnsi" w:hAnsiTheme="majorHAnsi" w:cstheme="majorHAnsi"/>
        </w:rPr>
        <w:t>riseball</w:t>
      </w:r>
      <w:proofErr w:type="spellEnd"/>
      <w:r w:rsidRPr="00253950">
        <w:rPr>
          <w:rFonts w:asciiTheme="majorHAnsi" w:hAnsiTheme="majorHAnsi" w:cstheme="majorHAnsi"/>
        </w:rPr>
        <w:t xml:space="preserve"> for months to achieve accuracy</w:t>
      </w:r>
      <w:r w:rsidRPr="00253950">
        <w:rPr>
          <w:rFonts w:asciiTheme="majorHAnsi" w:hAnsiTheme="majorHAnsi" w:cstheme="majorHAnsi"/>
        </w:rPr>
        <w:t xml:space="preserve"> </w:t>
      </w:r>
      <w:r w:rsidRPr="00253950">
        <w:rPr>
          <w:rFonts w:asciiTheme="majorHAnsi" w:hAnsiTheme="majorHAnsi" w:cstheme="majorHAnsi"/>
        </w:rPr>
        <w:t>and consistency, hoping to make an unsuspecting batter swing underneath it. During practice, it doesn’t matter how often the rise-ball flew over the catcher’s head, was out of the strike zone, or</w:t>
      </w:r>
      <w:r w:rsidRPr="00253950">
        <w:rPr>
          <w:rFonts w:asciiTheme="majorHAnsi" w:hAnsiTheme="majorHAnsi" w:cstheme="majorHAnsi"/>
        </w:rPr>
        <w:t xml:space="preserve"> </w:t>
      </w:r>
      <w:r w:rsidRPr="00253950">
        <w:rPr>
          <w:rFonts w:asciiTheme="majorHAnsi" w:hAnsiTheme="majorHAnsi" w:cstheme="majorHAnsi"/>
        </w:rPr>
        <w:t>ended up in the dirt. With continual feedback from her catcher</w:t>
      </w:r>
      <w:r w:rsidRPr="00253950">
        <w:rPr>
          <w:rFonts w:asciiTheme="majorHAnsi" w:hAnsiTheme="majorHAnsi" w:cstheme="majorHAnsi"/>
        </w:rPr>
        <w:t xml:space="preserve"> </w:t>
      </w:r>
      <w:r w:rsidRPr="00253950">
        <w:rPr>
          <w:rFonts w:asciiTheme="majorHAnsi" w:hAnsiTheme="majorHAnsi" w:cstheme="majorHAnsi"/>
        </w:rPr>
        <w:t>and coach and focus on the outcome, eventually she’ll master the</w:t>
      </w:r>
      <w:r w:rsidRPr="00253950">
        <w:rPr>
          <w:rFonts w:asciiTheme="majorHAnsi" w:hAnsiTheme="majorHAnsi" w:cstheme="majorHAnsi"/>
        </w:rPr>
        <w:t xml:space="preserve"> </w:t>
      </w:r>
      <w:r w:rsidRPr="00253950">
        <w:rPr>
          <w:rFonts w:asciiTheme="majorHAnsi" w:hAnsiTheme="majorHAnsi" w:cstheme="majorHAnsi"/>
        </w:rPr>
        <w:t>skill and have a new tool to spring on batters. Acquiring the skill</w:t>
      </w:r>
      <w:r w:rsidRPr="00253950">
        <w:rPr>
          <w:rFonts w:asciiTheme="majorHAnsi" w:hAnsiTheme="majorHAnsi" w:cstheme="majorHAnsi"/>
        </w:rPr>
        <w:t xml:space="preserve"> </w:t>
      </w:r>
      <w:r w:rsidRPr="00253950">
        <w:rPr>
          <w:rFonts w:asciiTheme="majorHAnsi" w:hAnsiTheme="majorHAnsi" w:cstheme="majorHAnsi"/>
        </w:rPr>
        <w:t xml:space="preserve">of a killer </w:t>
      </w:r>
      <w:proofErr w:type="spellStart"/>
      <w:r w:rsidRPr="00253950">
        <w:rPr>
          <w:rFonts w:asciiTheme="majorHAnsi" w:hAnsiTheme="majorHAnsi" w:cstheme="majorHAnsi"/>
        </w:rPr>
        <w:t>riseball</w:t>
      </w:r>
      <w:proofErr w:type="spellEnd"/>
      <w:r w:rsidRPr="00253950">
        <w:rPr>
          <w:rFonts w:asciiTheme="majorHAnsi" w:hAnsiTheme="majorHAnsi" w:cstheme="majorHAnsi"/>
        </w:rPr>
        <w:t xml:space="preserve"> is what ultimately matters. The amount of hours</w:t>
      </w:r>
      <w:r w:rsidRPr="00253950">
        <w:rPr>
          <w:rFonts w:asciiTheme="majorHAnsi" w:hAnsiTheme="majorHAnsi" w:cstheme="majorHAnsi"/>
        </w:rPr>
        <w:t xml:space="preserve"> </w:t>
      </w:r>
      <w:r w:rsidRPr="00253950">
        <w:rPr>
          <w:rFonts w:asciiTheme="majorHAnsi" w:hAnsiTheme="majorHAnsi" w:cstheme="majorHAnsi"/>
        </w:rPr>
        <w:t>that it took this pitcher to perfect her craft is irrelevant as long as</w:t>
      </w:r>
      <w:r w:rsidRPr="00253950">
        <w:rPr>
          <w:rFonts w:asciiTheme="majorHAnsi" w:hAnsiTheme="majorHAnsi" w:cstheme="majorHAnsi"/>
        </w:rPr>
        <w:t xml:space="preserve"> </w:t>
      </w:r>
      <w:r w:rsidRPr="00253950">
        <w:rPr>
          <w:rFonts w:asciiTheme="majorHAnsi" w:hAnsiTheme="majorHAnsi" w:cstheme="majorHAnsi"/>
        </w:rPr>
        <w:t xml:space="preserve">she’s ready when the situation presents itself at game time. </w:t>
      </w:r>
    </w:p>
    <w:p w:rsidR="00253950" w:rsidRDefault="00253950" w:rsidP="00B20692">
      <w:pPr>
        <w:spacing w:after="240" w:line="276" w:lineRule="auto"/>
        <w:rPr>
          <w:rFonts w:asciiTheme="majorHAnsi" w:hAnsiTheme="majorHAnsi" w:cstheme="majorHAnsi"/>
        </w:rPr>
      </w:pPr>
      <w:r w:rsidRPr="00253950">
        <w:rPr>
          <w:rFonts w:asciiTheme="majorHAnsi" w:hAnsiTheme="majorHAnsi" w:cstheme="majorHAnsi"/>
        </w:rPr>
        <w:t>What seems so logical and implicit in the athletic and performance arena is often foreign in schools, which should provide opportunities for students to practice and perfect new skills. Teachers often weigh practice and performance equally. For example, a</w:t>
      </w:r>
      <w:r w:rsidRPr="00253950">
        <w:rPr>
          <w:rFonts w:asciiTheme="majorHAnsi" w:hAnsiTheme="majorHAnsi" w:cstheme="majorHAnsi"/>
        </w:rPr>
        <w:t xml:space="preserve"> </w:t>
      </w:r>
      <w:r w:rsidRPr="00253950">
        <w:rPr>
          <w:rFonts w:asciiTheme="majorHAnsi" w:hAnsiTheme="majorHAnsi" w:cstheme="majorHAnsi"/>
        </w:rPr>
        <w:t>student may earn a C on homework assignments and an A on the</w:t>
      </w:r>
      <w:r w:rsidRPr="00253950">
        <w:rPr>
          <w:rFonts w:asciiTheme="majorHAnsi" w:hAnsiTheme="majorHAnsi" w:cstheme="majorHAnsi"/>
        </w:rPr>
        <w:t xml:space="preserve"> </w:t>
      </w:r>
      <w:r w:rsidRPr="00253950">
        <w:rPr>
          <w:rFonts w:asciiTheme="majorHAnsi" w:hAnsiTheme="majorHAnsi" w:cstheme="majorHAnsi"/>
        </w:rPr>
        <w:t>test. What final grade would this student earn? Many teachers</w:t>
      </w:r>
      <w:r w:rsidRPr="00253950">
        <w:rPr>
          <w:rFonts w:asciiTheme="majorHAnsi" w:hAnsiTheme="majorHAnsi" w:cstheme="majorHAnsi"/>
        </w:rPr>
        <w:t xml:space="preserve"> </w:t>
      </w:r>
      <w:r w:rsidRPr="00253950">
        <w:rPr>
          <w:rFonts w:asciiTheme="majorHAnsi" w:hAnsiTheme="majorHAnsi" w:cstheme="majorHAnsi"/>
        </w:rPr>
        <w:t>would say a B, an average of the two, equally weighting practice</w:t>
      </w:r>
      <w:r w:rsidRPr="00253950">
        <w:rPr>
          <w:rFonts w:asciiTheme="majorHAnsi" w:hAnsiTheme="majorHAnsi" w:cstheme="majorHAnsi"/>
        </w:rPr>
        <w:t xml:space="preserve"> </w:t>
      </w:r>
      <w:r w:rsidRPr="00253950">
        <w:rPr>
          <w:rFonts w:asciiTheme="majorHAnsi" w:hAnsiTheme="majorHAnsi" w:cstheme="majorHAnsi"/>
        </w:rPr>
        <w:t>and performance. Can you imagine this same reasoning being applied to the performers in a Broadway play? It would equate to an</w:t>
      </w:r>
      <w:r w:rsidRPr="00253950">
        <w:rPr>
          <w:rFonts w:asciiTheme="majorHAnsi" w:hAnsiTheme="majorHAnsi" w:cstheme="majorHAnsi"/>
        </w:rPr>
        <w:t xml:space="preserve"> </w:t>
      </w:r>
      <w:r w:rsidRPr="00253950">
        <w:rPr>
          <w:rFonts w:asciiTheme="majorHAnsi" w:hAnsiTheme="majorHAnsi" w:cstheme="majorHAnsi"/>
        </w:rPr>
        <w:t>actress receiving a less than favorable review because she forgot</w:t>
      </w:r>
      <w:r w:rsidRPr="00253950">
        <w:rPr>
          <w:rFonts w:asciiTheme="majorHAnsi" w:hAnsiTheme="majorHAnsi" w:cstheme="majorHAnsi"/>
        </w:rPr>
        <w:t xml:space="preserve"> some lines in rehearsal even though she was brilliant in the live performance.</w:t>
      </w:r>
    </w:p>
    <w:p w:rsidR="00EC3458" w:rsidRPr="00253950" w:rsidRDefault="00B20692" w:rsidP="00B20692">
      <w:pPr>
        <w:spacing w:line="276" w:lineRule="auto"/>
        <w:jc w:val="center"/>
        <w:rPr>
          <w:rFonts w:asciiTheme="majorHAnsi" w:hAnsiTheme="majorHAnsi" w:cstheme="majorHAnsi"/>
        </w:rPr>
      </w:pPr>
      <w:r>
        <w:rPr>
          <w:noProof/>
        </w:rPr>
        <w:drawing>
          <wp:inline distT="0" distB="0" distL="0" distR="0" wp14:anchorId="57C65D00" wp14:editId="6FEABEB6">
            <wp:extent cx="4552950" cy="106186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9628" cy="1072756"/>
                    </a:xfrm>
                    <a:prstGeom prst="rect">
                      <a:avLst/>
                    </a:prstGeom>
                  </pic:spPr>
                </pic:pic>
              </a:graphicData>
            </a:graphic>
          </wp:inline>
        </w:drawing>
      </w:r>
    </w:p>
    <w:p w:rsidR="00B20692" w:rsidRDefault="00B20692" w:rsidP="00B20692">
      <w:pPr>
        <w:jc w:val="center"/>
        <w:rPr>
          <w:rFonts w:asciiTheme="majorHAnsi" w:hAnsiTheme="majorHAnsi" w:cstheme="majorHAnsi"/>
        </w:rPr>
      </w:pPr>
    </w:p>
    <w:p w:rsidR="00B20692" w:rsidRDefault="00B20692">
      <w:pPr>
        <w:rPr>
          <w:rFonts w:asciiTheme="majorHAnsi" w:hAnsiTheme="majorHAnsi" w:cstheme="majorHAnsi"/>
        </w:rPr>
      </w:pPr>
    </w:p>
    <w:p w:rsidR="00B20692" w:rsidRDefault="00B20692">
      <w:pPr>
        <w:rPr>
          <w:rFonts w:asciiTheme="majorHAnsi" w:hAnsiTheme="majorHAnsi" w:cstheme="majorHAnsi"/>
        </w:rPr>
      </w:pPr>
    </w:p>
    <w:p w:rsidR="00B20692" w:rsidRDefault="00B20692">
      <w:pPr>
        <w:rPr>
          <w:rFonts w:asciiTheme="majorHAnsi" w:hAnsiTheme="majorHAnsi" w:cstheme="majorHAnsi"/>
        </w:rPr>
      </w:pPr>
      <w:bookmarkStart w:id="0" w:name="_GoBack"/>
      <w:bookmarkEnd w:id="0"/>
    </w:p>
    <w:p w:rsidR="00B20692" w:rsidRDefault="006D5CD0">
      <w:pPr>
        <w:rPr>
          <w:rFonts w:asciiTheme="majorHAnsi" w:hAnsiTheme="majorHAnsi" w:cstheme="majorHAnsi"/>
          <w:sz w:val="32"/>
          <w:szCs w:val="32"/>
        </w:rPr>
      </w:pPr>
      <w:r w:rsidRPr="00253950">
        <w:rPr>
          <w:rFonts w:asciiTheme="majorHAnsi" w:hAnsiTheme="majorHAnsi" w:cstheme="majorHAnsi"/>
        </w:rPr>
        <w:t xml:space="preserve">From H. </w:t>
      </w:r>
      <w:proofErr w:type="spellStart"/>
      <w:r w:rsidRPr="00253950">
        <w:rPr>
          <w:rFonts w:asciiTheme="majorHAnsi" w:hAnsiTheme="majorHAnsi" w:cstheme="majorHAnsi"/>
        </w:rPr>
        <w:t>D</w:t>
      </w:r>
      <w:r w:rsidR="00253950" w:rsidRPr="00253950">
        <w:rPr>
          <w:rFonts w:asciiTheme="majorHAnsi" w:hAnsiTheme="majorHAnsi" w:cstheme="majorHAnsi"/>
        </w:rPr>
        <w:t>eddeh</w:t>
      </w:r>
      <w:proofErr w:type="spellEnd"/>
      <w:r w:rsidR="00253950" w:rsidRPr="00253950">
        <w:rPr>
          <w:rFonts w:asciiTheme="majorHAnsi" w:hAnsiTheme="majorHAnsi" w:cstheme="majorHAnsi"/>
        </w:rPr>
        <w:t>, E. Main, &amp; S. Fulkerson,</w:t>
      </w:r>
      <w:r w:rsidRPr="00253950">
        <w:rPr>
          <w:rFonts w:asciiTheme="majorHAnsi" w:hAnsiTheme="majorHAnsi" w:cstheme="majorHAnsi"/>
        </w:rPr>
        <w:t xml:space="preserve"> “Eight Steps to Meaningful Grading.”  </w:t>
      </w:r>
      <w:r w:rsidRPr="00253950">
        <w:rPr>
          <w:rFonts w:asciiTheme="majorHAnsi" w:hAnsiTheme="majorHAnsi" w:cstheme="majorHAnsi"/>
          <w:i/>
        </w:rPr>
        <w:t>Phi Delta Kappan</w:t>
      </w:r>
      <w:r w:rsidRPr="00253950">
        <w:rPr>
          <w:rFonts w:asciiTheme="majorHAnsi" w:hAnsiTheme="majorHAnsi" w:cstheme="majorHAnsi"/>
        </w:rPr>
        <w:t>, April 2010.</w:t>
      </w:r>
      <w:r w:rsidR="00B20692" w:rsidRPr="00B20692">
        <w:rPr>
          <w:noProof/>
        </w:rPr>
        <w:t xml:space="preserve"> </w:t>
      </w:r>
      <w:r w:rsidR="00B20692">
        <w:rPr>
          <w:rFonts w:asciiTheme="majorHAnsi" w:hAnsiTheme="majorHAnsi" w:cstheme="majorHAnsi"/>
          <w:sz w:val="32"/>
          <w:szCs w:val="32"/>
        </w:rPr>
        <w:br w:type="page"/>
      </w:r>
    </w:p>
    <w:p w:rsidR="00602ED0" w:rsidRPr="00253950" w:rsidRDefault="00602ED0" w:rsidP="00FC6A23">
      <w:pPr>
        <w:jc w:val="center"/>
        <w:rPr>
          <w:rFonts w:asciiTheme="majorHAnsi" w:hAnsiTheme="majorHAnsi" w:cstheme="majorHAnsi"/>
          <w:sz w:val="32"/>
          <w:szCs w:val="32"/>
        </w:rPr>
      </w:pPr>
      <w:r w:rsidRPr="00253950">
        <w:rPr>
          <w:rFonts w:asciiTheme="majorHAnsi" w:hAnsiTheme="majorHAnsi" w:cstheme="majorHAnsi"/>
          <w:sz w:val="32"/>
          <w:szCs w:val="32"/>
        </w:rPr>
        <w:t xml:space="preserve">Group B – </w:t>
      </w:r>
      <w:r w:rsidR="00FC6A23" w:rsidRPr="00253950">
        <w:rPr>
          <w:rFonts w:asciiTheme="majorHAnsi" w:hAnsiTheme="majorHAnsi" w:cstheme="majorHAnsi"/>
          <w:sz w:val="32"/>
          <w:szCs w:val="32"/>
        </w:rPr>
        <w:t xml:space="preserve">The Case </w:t>
      </w:r>
      <w:proofErr w:type="gramStart"/>
      <w:r w:rsidR="00FC6A23" w:rsidRPr="00253950">
        <w:rPr>
          <w:rFonts w:asciiTheme="majorHAnsi" w:hAnsiTheme="majorHAnsi" w:cstheme="majorHAnsi"/>
          <w:sz w:val="32"/>
          <w:szCs w:val="32"/>
        </w:rPr>
        <w:t>Against</w:t>
      </w:r>
      <w:proofErr w:type="gramEnd"/>
      <w:r w:rsidR="00FC6A23" w:rsidRPr="00253950">
        <w:rPr>
          <w:rFonts w:asciiTheme="majorHAnsi" w:hAnsiTheme="majorHAnsi" w:cstheme="majorHAnsi"/>
          <w:sz w:val="32"/>
          <w:szCs w:val="32"/>
        </w:rPr>
        <w:t xml:space="preserve"> </w:t>
      </w:r>
      <w:r w:rsidRPr="00253950">
        <w:rPr>
          <w:rFonts w:asciiTheme="majorHAnsi" w:hAnsiTheme="majorHAnsi" w:cstheme="majorHAnsi"/>
          <w:sz w:val="32"/>
          <w:szCs w:val="32"/>
        </w:rPr>
        <w:t>Percentage Grades</w:t>
      </w:r>
    </w:p>
    <w:p w:rsidR="00602ED0" w:rsidRPr="00253950" w:rsidRDefault="00602ED0" w:rsidP="00FC6A23">
      <w:pPr>
        <w:spacing w:line="360" w:lineRule="auto"/>
        <w:rPr>
          <w:rFonts w:asciiTheme="majorHAnsi" w:hAnsiTheme="majorHAnsi" w:cstheme="majorHAnsi"/>
        </w:rPr>
      </w:pPr>
    </w:p>
    <w:p w:rsidR="00FC6A23" w:rsidRPr="00253950" w:rsidRDefault="00602ED0" w:rsidP="00253950">
      <w:pPr>
        <w:spacing w:after="240" w:line="276" w:lineRule="auto"/>
        <w:rPr>
          <w:rFonts w:asciiTheme="majorHAnsi" w:eastAsia="Times New Roman" w:hAnsiTheme="majorHAnsi" w:cstheme="majorHAnsi"/>
        </w:rPr>
      </w:pPr>
      <w:r w:rsidRPr="00253950">
        <w:rPr>
          <w:rFonts w:asciiTheme="majorHAnsi" w:eastAsia="Times New Roman" w:hAnsiTheme="majorHAnsi" w:cstheme="majorHAnsi"/>
        </w:rPr>
        <w:t>From the perspective of simple logic, percentage grading scales make little sense</w:t>
      </w:r>
      <w:r w:rsidR="00FC6A23" w:rsidRPr="00253950">
        <w:rPr>
          <w:rFonts w:asciiTheme="majorHAnsi" w:eastAsia="Times New Roman" w:hAnsiTheme="majorHAnsi" w:cstheme="majorHAnsi"/>
        </w:rPr>
        <w:t>….T</w:t>
      </w:r>
      <w:r w:rsidRPr="00253950">
        <w:rPr>
          <w:rFonts w:asciiTheme="majorHAnsi" w:eastAsia="Times New Roman" w:hAnsiTheme="majorHAnsi" w:cstheme="majorHAnsi"/>
        </w:rPr>
        <w:t xml:space="preserve">eachers who use percentage grades typically set the minimum passing grade at 60 or 65. The result is a scale that identifies 60 or more distinct levels of failure and only 40 levels of success. In other words, nearly two-thirds of the percentage grading scale describes levels of failure! What message does that communicate to students? And distinguishing 60 different levels of failure is hardly helpful. Does any teacher consider percentage grades in the 50s to denote modest failure and those in the teens or 20s to represent extreme failure? Are unsuccessful students concerned about which of the 60 different levels of failure they achieved? Some teachers counter that no one really uses those 60 different levels of failure. But if that is the case, then why have </w:t>
      </w:r>
      <w:proofErr w:type="gramStart"/>
      <w:r w:rsidRPr="00253950">
        <w:rPr>
          <w:rFonts w:asciiTheme="majorHAnsi" w:eastAsia="Times New Roman" w:hAnsiTheme="majorHAnsi" w:cstheme="majorHAnsi"/>
        </w:rPr>
        <w:t>them</w:t>
      </w:r>
      <w:proofErr w:type="gramEnd"/>
      <w:r w:rsidRPr="00253950">
        <w:rPr>
          <w:rFonts w:asciiTheme="majorHAnsi" w:eastAsia="Times New Roman" w:hAnsiTheme="majorHAnsi" w:cstheme="majorHAnsi"/>
        </w:rPr>
        <w:t>? Why not use a 50-point grading scale and designate ten levels of failure rather than the 100-point percentage grading scale with 60 levels of failure? After all, the choice of 100 is quite arbitrary. A grading scale in which two-thirds of the designated levels describe failure also implies that degrees of failure can be more finely distinguished than degrees of success. Should the focus of educators be to determine more minutely different levels of failure than those of learning success?</w:t>
      </w:r>
    </w:p>
    <w:p w:rsidR="00602ED0" w:rsidRPr="00253950" w:rsidRDefault="00602ED0" w:rsidP="00253950">
      <w:pPr>
        <w:spacing w:after="240" w:line="276" w:lineRule="auto"/>
        <w:rPr>
          <w:rFonts w:asciiTheme="majorHAnsi" w:hAnsiTheme="majorHAnsi" w:cstheme="majorHAnsi"/>
        </w:rPr>
      </w:pPr>
      <w:r w:rsidRPr="00253950">
        <w:rPr>
          <w:rFonts w:asciiTheme="majorHAnsi" w:hAnsiTheme="majorHAnsi" w:cstheme="majorHAnsi"/>
        </w:rPr>
        <w:t>Educators at all levels are familiar</w:t>
      </w:r>
      <w:r w:rsidR="00FC6A23" w:rsidRPr="00253950">
        <w:rPr>
          <w:rFonts w:asciiTheme="majorHAnsi" w:hAnsiTheme="majorHAnsi" w:cstheme="majorHAnsi"/>
        </w:rPr>
        <w:t xml:space="preserve"> </w:t>
      </w:r>
      <w:r w:rsidRPr="00253950">
        <w:rPr>
          <w:rFonts w:asciiTheme="majorHAnsi" w:hAnsiTheme="majorHAnsi" w:cstheme="majorHAnsi"/>
        </w:rPr>
        <w:t>with integer grades. The majority of</w:t>
      </w:r>
      <w:r w:rsidR="00FC6A23" w:rsidRPr="00253950">
        <w:rPr>
          <w:rFonts w:asciiTheme="majorHAnsi" w:hAnsiTheme="majorHAnsi" w:cstheme="majorHAnsi"/>
        </w:rPr>
        <w:t xml:space="preserve"> </w:t>
      </w:r>
      <w:r w:rsidRPr="00253950">
        <w:rPr>
          <w:rFonts w:asciiTheme="majorHAnsi" w:hAnsiTheme="majorHAnsi" w:cstheme="majorHAnsi"/>
        </w:rPr>
        <w:t>colleges and universities in the United</w:t>
      </w:r>
      <w:r w:rsidR="00FC6A23" w:rsidRPr="00253950">
        <w:rPr>
          <w:rFonts w:asciiTheme="majorHAnsi" w:hAnsiTheme="majorHAnsi" w:cstheme="majorHAnsi"/>
        </w:rPr>
        <w:t xml:space="preserve"> </w:t>
      </w:r>
      <w:r w:rsidRPr="00253950">
        <w:rPr>
          <w:rFonts w:asciiTheme="majorHAnsi" w:hAnsiTheme="majorHAnsi" w:cstheme="majorHAnsi"/>
        </w:rPr>
        <w:t>States use integer grading systems,</w:t>
      </w:r>
      <w:r w:rsidR="00FC6A23" w:rsidRPr="00253950">
        <w:rPr>
          <w:rFonts w:asciiTheme="majorHAnsi" w:hAnsiTheme="majorHAnsi" w:cstheme="majorHAnsi"/>
        </w:rPr>
        <w:t xml:space="preserve"> </w:t>
      </w:r>
      <w:r w:rsidRPr="00253950">
        <w:rPr>
          <w:rFonts w:asciiTheme="majorHAnsi" w:hAnsiTheme="majorHAnsi" w:cstheme="majorHAnsi"/>
        </w:rPr>
        <w:t>and most high schools use integer</w:t>
      </w:r>
      <w:r w:rsidR="00FC6A23" w:rsidRPr="00253950">
        <w:rPr>
          <w:rFonts w:asciiTheme="majorHAnsi" w:hAnsiTheme="majorHAnsi" w:cstheme="majorHAnsi"/>
        </w:rPr>
        <w:t xml:space="preserve"> </w:t>
      </w:r>
      <w:r w:rsidRPr="00253950">
        <w:rPr>
          <w:rFonts w:asciiTheme="majorHAnsi" w:hAnsiTheme="majorHAnsi" w:cstheme="majorHAnsi"/>
        </w:rPr>
        <w:t>grades when they compute students’</w:t>
      </w:r>
      <w:r w:rsidR="00FC6A23" w:rsidRPr="00253950">
        <w:rPr>
          <w:rFonts w:asciiTheme="majorHAnsi" w:hAnsiTheme="majorHAnsi" w:cstheme="majorHAnsi"/>
        </w:rPr>
        <w:t xml:space="preserve"> </w:t>
      </w:r>
      <w:r w:rsidRPr="00253950">
        <w:rPr>
          <w:rFonts w:asciiTheme="majorHAnsi" w:hAnsiTheme="majorHAnsi" w:cstheme="majorHAnsi"/>
        </w:rPr>
        <w:t xml:space="preserve">grade-point averages (GPAs). </w:t>
      </w:r>
      <w:r w:rsidR="00FF1EA8">
        <w:rPr>
          <w:rFonts w:asciiTheme="majorHAnsi" w:hAnsiTheme="majorHAnsi" w:cstheme="majorHAnsi"/>
        </w:rPr>
        <w:t xml:space="preserve"> </w:t>
      </w:r>
      <w:r w:rsidRPr="00253950">
        <w:rPr>
          <w:rFonts w:asciiTheme="majorHAnsi" w:hAnsiTheme="majorHAnsi" w:cstheme="majorHAnsi"/>
        </w:rPr>
        <w:t>In</w:t>
      </w:r>
      <w:r w:rsidR="00FC6A23" w:rsidRPr="00253950">
        <w:rPr>
          <w:rFonts w:asciiTheme="majorHAnsi" w:hAnsiTheme="majorHAnsi" w:cstheme="majorHAnsi"/>
        </w:rPr>
        <w:t xml:space="preserve"> </w:t>
      </w:r>
      <w:r w:rsidRPr="00253950">
        <w:rPr>
          <w:rFonts w:asciiTheme="majorHAnsi" w:hAnsiTheme="majorHAnsi" w:cstheme="majorHAnsi"/>
        </w:rPr>
        <w:t>fact, using 0–4 integer grades would</w:t>
      </w:r>
      <w:r w:rsidR="00FC6A23" w:rsidRPr="00253950">
        <w:rPr>
          <w:rFonts w:asciiTheme="majorHAnsi" w:hAnsiTheme="majorHAnsi" w:cstheme="majorHAnsi"/>
        </w:rPr>
        <w:t xml:space="preserve"> </w:t>
      </w:r>
      <w:r w:rsidRPr="00253950">
        <w:rPr>
          <w:rFonts w:asciiTheme="majorHAnsi" w:hAnsiTheme="majorHAnsi" w:cstheme="majorHAnsi"/>
        </w:rPr>
        <w:t>eliminate the problems that many</w:t>
      </w:r>
      <w:r w:rsidR="00FC6A23" w:rsidRPr="00253950">
        <w:rPr>
          <w:rFonts w:asciiTheme="majorHAnsi" w:hAnsiTheme="majorHAnsi" w:cstheme="majorHAnsi"/>
        </w:rPr>
        <w:t xml:space="preserve"> </w:t>
      </w:r>
      <w:r w:rsidRPr="00253950">
        <w:rPr>
          <w:rFonts w:asciiTheme="majorHAnsi" w:hAnsiTheme="majorHAnsi" w:cstheme="majorHAnsi"/>
        </w:rPr>
        <w:t>high schools experience in trying to</w:t>
      </w:r>
      <w:r w:rsidR="00FC6A23" w:rsidRPr="00253950">
        <w:rPr>
          <w:rFonts w:asciiTheme="majorHAnsi" w:hAnsiTheme="majorHAnsi" w:cstheme="majorHAnsi"/>
        </w:rPr>
        <w:t xml:space="preserve"> </w:t>
      </w:r>
      <w:r w:rsidRPr="00253950">
        <w:rPr>
          <w:rFonts w:asciiTheme="majorHAnsi" w:hAnsiTheme="majorHAnsi" w:cstheme="majorHAnsi"/>
        </w:rPr>
        <w:t>convert percentage grades to four</w:t>
      </w:r>
      <w:r w:rsidR="00FC6A23" w:rsidRPr="00253950">
        <w:rPr>
          <w:rFonts w:asciiTheme="majorHAnsi" w:hAnsiTheme="majorHAnsi" w:cstheme="majorHAnsi"/>
        </w:rPr>
        <w:t xml:space="preserve"> </w:t>
      </w:r>
      <w:r w:rsidRPr="00253950">
        <w:rPr>
          <w:rFonts w:asciiTheme="majorHAnsi" w:hAnsiTheme="majorHAnsi" w:cstheme="majorHAnsi"/>
        </w:rPr>
        <w:t>point</w:t>
      </w:r>
      <w:r w:rsidR="00FC6A23" w:rsidRPr="00253950">
        <w:rPr>
          <w:rFonts w:asciiTheme="majorHAnsi" w:hAnsiTheme="majorHAnsi" w:cstheme="majorHAnsi"/>
        </w:rPr>
        <w:t xml:space="preserve"> </w:t>
      </w:r>
      <w:r w:rsidRPr="00253950">
        <w:rPr>
          <w:rFonts w:asciiTheme="majorHAnsi" w:hAnsiTheme="majorHAnsi" w:cstheme="majorHAnsi"/>
        </w:rPr>
        <w:t>or five-point GPAs. And integer</w:t>
      </w:r>
      <w:r w:rsidR="00FC6A23" w:rsidRPr="00253950">
        <w:rPr>
          <w:rFonts w:asciiTheme="majorHAnsi" w:hAnsiTheme="majorHAnsi" w:cstheme="majorHAnsi"/>
        </w:rPr>
        <w:t xml:space="preserve"> </w:t>
      </w:r>
      <w:r w:rsidRPr="00253950">
        <w:rPr>
          <w:rFonts w:asciiTheme="majorHAnsi" w:hAnsiTheme="majorHAnsi" w:cstheme="majorHAnsi"/>
        </w:rPr>
        <w:t>grading scales align with the levels</w:t>
      </w:r>
      <w:r w:rsidR="00FC6A23" w:rsidRPr="00253950">
        <w:rPr>
          <w:rFonts w:asciiTheme="majorHAnsi" w:hAnsiTheme="majorHAnsi" w:cstheme="majorHAnsi"/>
        </w:rPr>
        <w:t xml:space="preserve"> </w:t>
      </w:r>
      <w:r w:rsidRPr="00253950">
        <w:rPr>
          <w:rFonts w:asciiTheme="majorHAnsi" w:hAnsiTheme="majorHAnsi" w:cstheme="majorHAnsi"/>
        </w:rPr>
        <w:t>used to classify student achievement</w:t>
      </w:r>
      <w:r w:rsidR="00FC6A23" w:rsidRPr="00253950">
        <w:rPr>
          <w:rFonts w:asciiTheme="majorHAnsi" w:hAnsiTheme="majorHAnsi" w:cstheme="majorHAnsi"/>
        </w:rPr>
        <w:t xml:space="preserve">  </w:t>
      </w:r>
      <w:r w:rsidRPr="00253950">
        <w:rPr>
          <w:rFonts w:asciiTheme="majorHAnsi" w:hAnsiTheme="majorHAnsi" w:cstheme="majorHAnsi"/>
        </w:rPr>
        <w:t>in most state assessment programs (for</w:t>
      </w:r>
      <w:r w:rsidR="00FC6A23" w:rsidRPr="00253950">
        <w:rPr>
          <w:rFonts w:asciiTheme="majorHAnsi" w:hAnsiTheme="majorHAnsi" w:cstheme="majorHAnsi"/>
        </w:rPr>
        <w:t xml:space="preserve"> </w:t>
      </w:r>
      <w:r w:rsidRPr="00253950">
        <w:rPr>
          <w:rFonts w:asciiTheme="majorHAnsi" w:hAnsiTheme="majorHAnsi" w:cstheme="majorHAnsi"/>
        </w:rPr>
        <w:t>example, Below Basic, Basic, Proficient,</w:t>
      </w:r>
      <w:r w:rsidR="00FC6A23" w:rsidRPr="00253950">
        <w:rPr>
          <w:rFonts w:asciiTheme="majorHAnsi" w:hAnsiTheme="majorHAnsi" w:cstheme="majorHAnsi"/>
        </w:rPr>
        <w:t xml:space="preserve"> </w:t>
      </w:r>
      <w:r w:rsidRPr="00253950">
        <w:rPr>
          <w:rFonts w:asciiTheme="majorHAnsi" w:hAnsiTheme="majorHAnsi" w:cstheme="majorHAnsi"/>
        </w:rPr>
        <w:t>and Advanced) and with the four</w:t>
      </w:r>
      <w:r w:rsidR="00FC6A23" w:rsidRPr="00253950">
        <w:rPr>
          <w:rFonts w:asciiTheme="majorHAnsi" w:hAnsiTheme="majorHAnsi" w:cstheme="majorHAnsi"/>
        </w:rPr>
        <w:t xml:space="preserve"> </w:t>
      </w:r>
      <w:r w:rsidRPr="00253950">
        <w:rPr>
          <w:rFonts w:asciiTheme="majorHAnsi" w:hAnsiTheme="majorHAnsi" w:cstheme="majorHAnsi"/>
        </w:rPr>
        <w:t>point</w:t>
      </w:r>
      <w:r w:rsidR="00FC6A23" w:rsidRPr="00253950">
        <w:rPr>
          <w:rFonts w:asciiTheme="majorHAnsi" w:hAnsiTheme="majorHAnsi" w:cstheme="majorHAnsi"/>
        </w:rPr>
        <w:t xml:space="preserve"> </w:t>
      </w:r>
      <w:r w:rsidRPr="00253950">
        <w:rPr>
          <w:rFonts w:asciiTheme="majorHAnsi" w:hAnsiTheme="majorHAnsi" w:cstheme="majorHAnsi"/>
        </w:rPr>
        <w:t>rubrics that many teachers use</w:t>
      </w:r>
      <w:r w:rsidR="00FC6A23" w:rsidRPr="00253950">
        <w:rPr>
          <w:rFonts w:asciiTheme="majorHAnsi" w:hAnsiTheme="majorHAnsi" w:cstheme="majorHAnsi"/>
        </w:rPr>
        <w:t xml:space="preserve">  </w:t>
      </w:r>
      <w:r w:rsidRPr="00253950">
        <w:rPr>
          <w:rFonts w:asciiTheme="majorHAnsi" w:hAnsiTheme="majorHAnsi" w:cstheme="majorHAnsi"/>
        </w:rPr>
        <w:t>in judging students’ performance on</w:t>
      </w:r>
      <w:r w:rsidR="00FC6A23" w:rsidRPr="00253950">
        <w:rPr>
          <w:rFonts w:asciiTheme="majorHAnsi" w:hAnsiTheme="majorHAnsi" w:cstheme="majorHAnsi"/>
        </w:rPr>
        <w:t xml:space="preserve"> </w:t>
      </w:r>
      <w:r w:rsidRPr="00253950">
        <w:rPr>
          <w:rFonts w:asciiTheme="majorHAnsi" w:hAnsiTheme="majorHAnsi" w:cstheme="majorHAnsi"/>
        </w:rPr>
        <w:t>classroom assessments.</w:t>
      </w:r>
    </w:p>
    <w:p w:rsidR="00FC6A23" w:rsidRPr="00253950" w:rsidRDefault="00FC6A23" w:rsidP="00FC6A23">
      <w:pPr>
        <w:autoSpaceDE w:val="0"/>
        <w:autoSpaceDN w:val="0"/>
        <w:adjustRightInd w:val="0"/>
        <w:rPr>
          <w:rFonts w:asciiTheme="majorHAnsi" w:hAnsiTheme="majorHAnsi" w:cstheme="majorHAnsi"/>
          <w:i/>
          <w:iCs/>
          <w:color w:val="000000"/>
          <w:sz w:val="18"/>
          <w:szCs w:val="18"/>
        </w:rPr>
      </w:pPr>
    </w:p>
    <w:p w:rsidR="00FC6A23" w:rsidRPr="00253950" w:rsidRDefault="00FC6A23" w:rsidP="00FC6A23">
      <w:pPr>
        <w:autoSpaceDE w:val="0"/>
        <w:autoSpaceDN w:val="0"/>
        <w:adjustRightInd w:val="0"/>
        <w:rPr>
          <w:rFonts w:asciiTheme="majorHAnsi" w:hAnsiTheme="majorHAnsi" w:cstheme="majorHAnsi"/>
          <w:i/>
          <w:iCs/>
          <w:color w:val="000000"/>
          <w:sz w:val="18"/>
          <w:szCs w:val="18"/>
        </w:rPr>
      </w:pPr>
    </w:p>
    <w:p w:rsidR="00FC6A23" w:rsidRPr="00253950" w:rsidRDefault="00FC6A23" w:rsidP="00FC6A23">
      <w:pPr>
        <w:autoSpaceDE w:val="0"/>
        <w:autoSpaceDN w:val="0"/>
        <w:adjustRightInd w:val="0"/>
        <w:rPr>
          <w:rFonts w:asciiTheme="majorHAnsi" w:hAnsiTheme="majorHAnsi" w:cstheme="majorHAnsi"/>
          <w:i/>
          <w:iCs/>
          <w:color w:val="000000"/>
          <w:sz w:val="18"/>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EC3458" w:rsidRDefault="00EC3458" w:rsidP="00253950">
      <w:pPr>
        <w:autoSpaceDE w:val="0"/>
        <w:autoSpaceDN w:val="0"/>
        <w:adjustRightInd w:val="0"/>
        <w:spacing w:line="276" w:lineRule="auto"/>
        <w:rPr>
          <w:rFonts w:asciiTheme="majorHAnsi" w:hAnsiTheme="majorHAnsi" w:cstheme="majorHAnsi"/>
          <w:color w:val="000000"/>
          <w:szCs w:val="18"/>
        </w:rPr>
      </w:pPr>
    </w:p>
    <w:p w:rsidR="00FC6A23" w:rsidRPr="00253950" w:rsidRDefault="00FC6A23" w:rsidP="00253950">
      <w:pPr>
        <w:autoSpaceDE w:val="0"/>
        <w:autoSpaceDN w:val="0"/>
        <w:adjustRightInd w:val="0"/>
        <w:spacing w:line="276" w:lineRule="auto"/>
        <w:rPr>
          <w:rFonts w:asciiTheme="majorHAnsi" w:hAnsiTheme="majorHAnsi" w:cstheme="majorHAnsi"/>
          <w:i/>
          <w:iCs/>
          <w:color w:val="000000"/>
          <w:szCs w:val="18"/>
        </w:rPr>
      </w:pPr>
      <w:r w:rsidRPr="00253950">
        <w:rPr>
          <w:rFonts w:asciiTheme="majorHAnsi" w:hAnsiTheme="majorHAnsi" w:cstheme="majorHAnsi"/>
          <w:color w:val="000000"/>
          <w:szCs w:val="18"/>
        </w:rPr>
        <w:t xml:space="preserve">Excerpted from Thomas </w:t>
      </w:r>
      <w:proofErr w:type="spellStart"/>
      <w:r w:rsidRPr="00253950">
        <w:rPr>
          <w:rFonts w:asciiTheme="majorHAnsi" w:hAnsiTheme="majorHAnsi" w:cstheme="majorHAnsi"/>
          <w:color w:val="000000"/>
          <w:szCs w:val="18"/>
        </w:rPr>
        <w:t>Guskey</w:t>
      </w:r>
      <w:proofErr w:type="spellEnd"/>
      <w:r w:rsidRPr="00253950">
        <w:rPr>
          <w:rFonts w:asciiTheme="majorHAnsi" w:hAnsiTheme="majorHAnsi" w:cstheme="majorHAnsi"/>
          <w:color w:val="000000"/>
          <w:szCs w:val="18"/>
        </w:rPr>
        <w:t xml:space="preserve">, "The Case Against Percentage Grades" (2013). </w:t>
      </w:r>
      <w:r w:rsidRPr="00253950">
        <w:rPr>
          <w:rFonts w:asciiTheme="majorHAnsi" w:hAnsiTheme="majorHAnsi" w:cstheme="majorHAnsi"/>
          <w:i/>
          <w:iCs/>
          <w:color w:val="000000"/>
          <w:szCs w:val="18"/>
        </w:rPr>
        <w:t>Educational, School, and Counseling Psychology Faculty Publications</w:t>
      </w:r>
      <w:r w:rsidRPr="00253950">
        <w:rPr>
          <w:rFonts w:asciiTheme="majorHAnsi" w:hAnsiTheme="majorHAnsi" w:cstheme="majorHAnsi"/>
          <w:color w:val="000000"/>
          <w:szCs w:val="18"/>
        </w:rPr>
        <w:t xml:space="preserve">.  22.  </w:t>
      </w:r>
      <w:r w:rsidRPr="00253950">
        <w:rPr>
          <w:rFonts w:asciiTheme="majorHAnsi" w:hAnsiTheme="majorHAnsi" w:cstheme="majorHAnsi"/>
          <w:color w:val="316192"/>
          <w:szCs w:val="18"/>
        </w:rPr>
        <w:t>http://uknowledge.uky.edu/edp_facpub/22</w:t>
      </w:r>
    </w:p>
    <w:p w:rsidR="00602ED0" w:rsidRPr="00FF1EA8" w:rsidRDefault="00602ED0" w:rsidP="00E83697">
      <w:pPr>
        <w:jc w:val="center"/>
        <w:rPr>
          <w:rFonts w:asciiTheme="majorHAnsi" w:hAnsiTheme="majorHAnsi" w:cstheme="majorHAnsi"/>
          <w:sz w:val="32"/>
          <w:szCs w:val="28"/>
        </w:rPr>
      </w:pPr>
      <w:r w:rsidRPr="00FF1EA8">
        <w:rPr>
          <w:rFonts w:asciiTheme="majorHAnsi" w:hAnsiTheme="majorHAnsi" w:cstheme="majorHAnsi"/>
          <w:sz w:val="32"/>
          <w:szCs w:val="28"/>
        </w:rPr>
        <w:lastRenderedPageBreak/>
        <w:t xml:space="preserve">Group C – Missing Assignments – </w:t>
      </w:r>
      <w:r w:rsidR="00E83697" w:rsidRPr="00FF1EA8">
        <w:rPr>
          <w:rFonts w:asciiTheme="majorHAnsi" w:hAnsiTheme="majorHAnsi" w:cstheme="majorHAnsi"/>
          <w:sz w:val="32"/>
          <w:szCs w:val="28"/>
        </w:rPr>
        <w:t>T</w:t>
      </w:r>
      <w:r w:rsidRPr="00FF1EA8">
        <w:rPr>
          <w:rFonts w:asciiTheme="majorHAnsi" w:hAnsiTheme="majorHAnsi" w:cstheme="majorHAnsi"/>
          <w:sz w:val="32"/>
          <w:szCs w:val="28"/>
        </w:rPr>
        <w:t>he Distortion of Zero</w:t>
      </w:r>
    </w:p>
    <w:p w:rsidR="00602ED0" w:rsidRPr="00FF1EA8" w:rsidRDefault="00602ED0" w:rsidP="00602ED0">
      <w:pPr>
        <w:rPr>
          <w:rFonts w:asciiTheme="majorHAnsi" w:hAnsiTheme="majorHAnsi" w:cstheme="majorHAnsi"/>
          <w:sz w:val="28"/>
          <w:szCs w:val="28"/>
        </w:rPr>
      </w:pPr>
    </w:p>
    <w:p w:rsidR="00B35905" w:rsidRPr="00FF1EA8" w:rsidRDefault="00C06F55" w:rsidP="00FF1EA8">
      <w:pPr>
        <w:spacing w:after="240"/>
        <w:rPr>
          <w:rFonts w:asciiTheme="majorHAnsi" w:hAnsiTheme="majorHAnsi" w:cstheme="majorHAnsi"/>
          <w:b/>
        </w:rPr>
      </w:pPr>
      <w:r w:rsidRPr="00FF1EA8">
        <w:rPr>
          <w:rFonts w:asciiTheme="majorHAnsi" w:hAnsiTheme="majorHAnsi" w:cstheme="majorHAnsi"/>
          <w:b/>
        </w:rPr>
        <w:t>"</w:t>
      </w:r>
      <w:proofErr w:type="spellStart"/>
      <w:r w:rsidRPr="00FF1EA8">
        <w:rPr>
          <w:rFonts w:asciiTheme="majorHAnsi" w:hAnsiTheme="majorHAnsi" w:cstheme="majorHAnsi"/>
          <w:b/>
        </w:rPr>
        <w:t>Lates</w:t>
      </w:r>
      <w:proofErr w:type="spellEnd"/>
      <w:r w:rsidRPr="00FF1EA8">
        <w:rPr>
          <w:rFonts w:asciiTheme="majorHAnsi" w:hAnsiTheme="majorHAnsi" w:cstheme="majorHAnsi"/>
          <w:b/>
        </w:rPr>
        <w:t>" and Zeros</w:t>
      </w:r>
      <w:r w:rsidR="00B35905" w:rsidRPr="00FF1EA8">
        <w:rPr>
          <w:rFonts w:asciiTheme="majorHAnsi" w:hAnsiTheme="majorHAnsi" w:cstheme="majorHAnsi"/>
          <w:b/>
        </w:rPr>
        <w:t xml:space="preserve"> </w:t>
      </w:r>
    </w:p>
    <w:p w:rsidR="00B35905" w:rsidRPr="00FF1EA8" w:rsidRDefault="00C06F55" w:rsidP="00FF1EA8">
      <w:pPr>
        <w:shd w:val="clear" w:color="auto" w:fill="FFFFFF"/>
        <w:spacing w:after="240" w:line="348" w:lineRule="atLeast"/>
        <w:textAlignment w:val="baseline"/>
        <w:rPr>
          <w:rFonts w:asciiTheme="majorHAnsi" w:hAnsiTheme="majorHAnsi" w:cstheme="majorHAnsi"/>
          <w:color w:val="000000"/>
        </w:rPr>
      </w:pPr>
      <w:r w:rsidRPr="00FF1EA8">
        <w:rPr>
          <w:rFonts w:asciiTheme="majorHAnsi" w:hAnsiTheme="majorHAnsi" w:cstheme="majorHAnsi"/>
          <w:color w:val="000000"/>
        </w:rPr>
        <w:t>When addressing punitive grading measures</w:t>
      </w:r>
      <w:r w:rsidR="00B35905" w:rsidRPr="00FF1EA8">
        <w:rPr>
          <w:rFonts w:asciiTheme="majorHAnsi" w:hAnsiTheme="majorHAnsi" w:cstheme="majorHAnsi"/>
          <w:color w:val="000000"/>
        </w:rPr>
        <w:t xml:space="preserve">… </w:t>
      </w:r>
      <w:r w:rsidRPr="00FF1EA8">
        <w:rPr>
          <w:rFonts w:asciiTheme="majorHAnsi" w:hAnsiTheme="majorHAnsi" w:cstheme="majorHAnsi"/>
          <w:color w:val="000000"/>
        </w:rPr>
        <w:t>I will be speaking mainly of </w:t>
      </w:r>
      <w:r w:rsidRPr="00FF1EA8">
        <w:rPr>
          <w:rFonts w:asciiTheme="majorHAnsi" w:hAnsiTheme="majorHAnsi" w:cstheme="majorHAnsi"/>
          <w:i/>
          <w:iCs/>
          <w:color w:val="000000"/>
          <w:bdr w:val="none" w:sz="0" w:space="0" w:color="auto" w:frame="1"/>
        </w:rPr>
        <w:t>deductions for late assignments</w:t>
      </w:r>
      <w:r w:rsidRPr="00FF1EA8">
        <w:rPr>
          <w:rFonts w:asciiTheme="majorHAnsi" w:hAnsiTheme="majorHAnsi" w:cstheme="majorHAnsi"/>
          <w:color w:val="000000"/>
        </w:rPr>
        <w:t> ("</w:t>
      </w:r>
      <w:proofErr w:type="spellStart"/>
      <w:r w:rsidRPr="00FF1EA8">
        <w:rPr>
          <w:rFonts w:asciiTheme="majorHAnsi" w:hAnsiTheme="majorHAnsi" w:cstheme="majorHAnsi"/>
          <w:i/>
          <w:iCs/>
          <w:color w:val="000000"/>
          <w:bdr w:val="none" w:sz="0" w:space="0" w:color="auto" w:frame="1"/>
        </w:rPr>
        <w:t>lates</w:t>
      </w:r>
      <w:proofErr w:type="spellEnd"/>
      <w:r w:rsidRPr="00FF1EA8">
        <w:rPr>
          <w:rFonts w:asciiTheme="majorHAnsi" w:hAnsiTheme="majorHAnsi" w:cstheme="majorHAnsi"/>
          <w:color w:val="000000"/>
        </w:rPr>
        <w:t>") and </w:t>
      </w:r>
      <w:r w:rsidRPr="00FF1EA8">
        <w:rPr>
          <w:rFonts w:asciiTheme="majorHAnsi" w:hAnsiTheme="majorHAnsi" w:cstheme="majorHAnsi"/>
          <w:i/>
          <w:iCs/>
          <w:color w:val="000000"/>
          <w:bdr w:val="none" w:sz="0" w:space="0" w:color="auto" w:frame="1"/>
        </w:rPr>
        <w:t>zeros.</w:t>
      </w:r>
      <w:r w:rsidRPr="00FF1EA8">
        <w:rPr>
          <w:rFonts w:asciiTheme="majorHAnsi" w:hAnsiTheme="majorHAnsi" w:cstheme="majorHAnsi"/>
          <w:color w:val="000000"/>
        </w:rPr>
        <w:t> Any discussion of zeros must include a distinction between a 4-point scale and 100-point scale. Doug Reeves (2010) explains the difference very well:</w:t>
      </w:r>
    </w:p>
    <w:p w:rsidR="00B35905" w:rsidRPr="00FF1EA8" w:rsidRDefault="00C06F55" w:rsidP="00FF1EA8">
      <w:pPr>
        <w:shd w:val="clear" w:color="auto" w:fill="FFFFFF"/>
        <w:spacing w:after="240" w:line="348" w:lineRule="atLeast"/>
        <w:textAlignment w:val="baseline"/>
        <w:rPr>
          <w:rFonts w:asciiTheme="majorHAnsi" w:eastAsia="Times New Roman" w:hAnsiTheme="majorHAnsi" w:cstheme="majorHAnsi"/>
          <w:color w:val="000000"/>
        </w:rPr>
      </w:pPr>
      <w:r w:rsidRPr="00FF1EA8">
        <w:rPr>
          <w:rFonts w:asciiTheme="majorHAnsi" w:eastAsia="Times New Roman" w:hAnsiTheme="majorHAnsi" w:cstheme="majorHAnsi"/>
          <w:color w:val="000000"/>
        </w:rPr>
        <w:t>On a four-point scale, where "A" = "4," "B" = "3," and so on, the zero is accurate, because the difference between the "A," "B," "C," "D," and "F" are all equal—one point. But assigning a zero on a 100-point scale is a math error; it implies a 60-point difference between the "D" and "F," while the other differences are typically about 10 points. It makes missing a single assignment the "academic death penalty." It's not just unfair—it is not mathematically accurate. (p. 78)</w:t>
      </w:r>
    </w:p>
    <w:p w:rsidR="00B35905" w:rsidRPr="00FF1EA8" w:rsidRDefault="00C06F55" w:rsidP="00FF1EA8">
      <w:pPr>
        <w:shd w:val="clear" w:color="auto" w:fill="FFFFFF"/>
        <w:spacing w:after="240" w:line="348" w:lineRule="atLeast"/>
        <w:textAlignment w:val="baseline"/>
        <w:rPr>
          <w:rFonts w:asciiTheme="majorHAnsi" w:hAnsiTheme="majorHAnsi" w:cstheme="majorHAnsi"/>
          <w:color w:val="000000"/>
        </w:rPr>
      </w:pPr>
      <w:r w:rsidRPr="00FF1EA8">
        <w:rPr>
          <w:rFonts w:asciiTheme="majorHAnsi" w:hAnsiTheme="majorHAnsi" w:cstheme="majorHAnsi"/>
          <w:color w:val="000000"/>
        </w:rPr>
        <w:t xml:space="preserve">The majority of the zeros I see getting handed out are on a 100-point scale. Both </w:t>
      </w:r>
      <w:proofErr w:type="spellStart"/>
      <w:r w:rsidRPr="00FF1EA8">
        <w:rPr>
          <w:rFonts w:asciiTheme="majorHAnsi" w:hAnsiTheme="majorHAnsi" w:cstheme="majorHAnsi"/>
          <w:color w:val="000000"/>
        </w:rPr>
        <w:t>lates</w:t>
      </w:r>
      <w:proofErr w:type="spellEnd"/>
      <w:r w:rsidRPr="00FF1EA8">
        <w:rPr>
          <w:rFonts w:asciiTheme="majorHAnsi" w:hAnsiTheme="majorHAnsi" w:cstheme="majorHAnsi"/>
          <w:color w:val="000000"/>
        </w:rPr>
        <w:t xml:space="preserve"> and zeros are attempts to affect behavior by statistically incorporating punitive measures into the grading scheme.</w:t>
      </w:r>
    </w:p>
    <w:p w:rsidR="00C06F55" w:rsidRDefault="00C06F55" w:rsidP="00FF1EA8">
      <w:pPr>
        <w:shd w:val="clear" w:color="auto" w:fill="FFFFFF"/>
        <w:spacing w:after="240" w:line="348" w:lineRule="atLeast"/>
        <w:textAlignment w:val="baseline"/>
        <w:rPr>
          <w:rFonts w:asciiTheme="majorHAnsi" w:hAnsiTheme="majorHAnsi" w:cstheme="majorHAnsi"/>
          <w:color w:val="000000"/>
        </w:rPr>
      </w:pPr>
      <w:r w:rsidRPr="00FF1EA8">
        <w:rPr>
          <w:rFonts w:asciiTheme="majorHAnsi" w:hAnsiTheme="majorHAnsi" w:cstheme="majorHAnsi"/>
          <w:color w:val="000000"/>
        </w:rPr>
        <w:t xml:space="preserve">Here are some examples of how </w:t>
      </w:r>
      <w:proofErr w:type="spellStart"/>
      <w:r w:rsidRPr="00FF1EA8">
        <w:rPr>
          <w:rFonts w:asciiTheme="majorHAnsi" w:hAnsiTheme="majorHAnsi" w:cstheme="majorHAnsi"/>
          <w:color w:val="000000"/>
        </w:rPr>
        <w:t>lates</w:t>
      </w:r>
      <w:proofErr w:type="spellEnd"/>
      <w:r w:rsidRPr="00FF1EA8">
        <w:rPr>
          <w:rFonts w:asciiTheme="majorHAnsi" w:hAnsiTheme="majorHAnsi" w:cstheme="majorHAnsi"/>
          <w:color w:val="000000"/>
        </w:rPr>
        <w:t xml:space="preserve"> and zeros are typically used in grading decisions:</w:t>
      </w:r>
    </w:p>
    <w:p w:rsidR="00FF1EA8" w:rsidRDefault="00FF1EA8" w:rsidP="00FF1EA8">
      <w:pPr>
        <w:pStyle w:val="ListParagraph"/>
        <w:numPr>
          <w:ilvl w:val="0"/>
          <w:numId w:val="2"/>
        </w:numPr>
        <w:shd w:val="clear" w:color="auto" w:fill="FFFFFF"/>
        <w:spacing w:after="240" w:line="348" w:lineRule="atLeast"/>
        <w:textAlignment w:val="baseline"/>
        <w:rPr>
          <w:rFonts w:asciiTheme="majorHAnsi" w:hAnsiTheme="majorHAnsi" w:cstheme="majorHAnsi"/>
          <w:color w:val="000000"/>
        </w:rPr>
      </w:pPr>
      <w:r>
        <w:rPr>
          <w:rFonts w:asciiTheme="majorHAnsi" w:hAnsiTheme="majorHAnsi" w:cstheme="majorHAnsi"/>
          <w:color w:val="000000"/>
        </w:rPr>
        <w:t>10 percent of the grade is deducted per day after the assignment’s due date.</w:t>
      </w:r>
    </w:p>
    <w:p w:rsidR="00FF1EA8" w:rsidRDefault="00FF1EA8" w:rsidP="00FF1EA8">
      <w:pPr>
        <w:pStyle w:val="ListParagraph"/>
        <w:numPr>
          <w:ilvl w:val="0"/>
          <w:numId w:val="2"/>
        </w:numPr>
        <w:shd w:val="clear" w:color="auto" w:fill="FFFFFF"/>
        <w:spacing w:after="240" w:line="348" w:lineRule="atLeast"/>
        <w:textAlignment w:val="baseline"/>
        <w:rPr>
          <w:rFonts w:asciiTheme="majorHAnsi" w:hAnsiTheme="majorHAnsi" w:cstheme="majorHAnsi"/>
          <w:color w:val="000000"/>
        </w:rPr>
      </w:pPr>
      <w:r>
        <w:rPr>
          <w:rFonts w:asciiTheme="majorHAnsi" w:hAnsiTheme="majorHAnsi" w:cstheme="majorHAnsi"/>
          <w:color w:val="000000"/>
        </w:rPr>
        <w:t>A 50 percent deduction is applied to the assignment following an arbitrary number of days beyond the original due date.</w:t>
      </w:r>
    </w:p>
    <w:p w:rsidR="00FF1EA8" w:rsidRDefault="00FF1EA8" w:rsidP="00FF1EA8">
      <w:pPr>
        <w:pStyle w:val="ListParagraph"/>
        <w:numPr>
          <w:ilvl w:val="0"/>
          <w:numId w:val="2"/>
        </w:numPr>
        <w:shd w:val="clear" w:color="auto" w:fill="FFFFFF"/>
        <w:spacing w:after="240" w:line="348" w:lineRule="atLeast"/>
        <w:textAlignment w:val="baseline"/>
        <w:rPr>
          <w:rFonts w:asciiTheme="majorHAnsi" w:hAnsiTheme="majorHAnsi" w:cstheme="majorHAnsi"/>
          <w:color w:val="000000"/>
        </w:rPr>
      </w:pPr>
      <w:r>
        <w:rPr>
          <w:rFonts w:asciiTheme="majorHAnsi" w:hAnsiTheme="majorHAnsi" w:cstheme="majorHAnsi"/>
          <w:color w:val="000000"/>
        </w:rPr>
        <w:t>After the due date, the assignment is graded on a pass/fail basis; if awarded a “pass,” 50 percent of the grade is still deducted.</w:t>
      </w:r>
    </w:p>
    <w:p w:rsidR="00FF1EA8" w:rsidRPr="00FF1EA8" w:rsidRDefault="00FF1EA8" w:rsidP="00FF1EA8">
      <w:pPr>
        <w:pStyle w:val="ListParagraph"/>
        <w:numPr>
          <w:ilvl w:val="0"/>
          <w:numId w:val="2"/>
        </w:numPr>
        <w:shd w:val="clear" w:color="auto" w:fill="FFFFFF"/>
        <w:spacing w:after="240" w:line="348" w:lineRule="atLeast"/>
        <w:textAlignment w:val="baseline"/>
        <w:rPr>
          <w:rFonts w:asciiTheme="majorHAnsi" w:hAnsiTheme="majorHAnsi" w:cstheme="majorHAnsi"/>
          <w:color w:val="000000"/>
        </w:rPr>
      </w:pPr>
      <w:r>
        <w:rPr>
          <w:rFonts w:asciiTheme="majorHAnsi" w:hAnsiTheme="majorHAnsi" w:cstheme="majorHAnsi"/>
          <w:color w:val="000000"/>
        </w:rPr>
        <w:t>If the assignment is not handed in by the due date, it receives an automatic zero.</w:t>
      </w:r>
    </w:p>
    <w:p w:rsidR="00B35905" w:rsidRPr="00FF1EA8" w:rsidRDefault="00B35905" w:rsidP="00FF1EA8">
      <w:pPr>
        <w:shd w:val="clear" w:color="auto" w:fill="FFFFFF"/>
        <w:spacing w:after="240" w:line="300" w:lineRule="atLeast"/>
        <w:textAlignment w:val="baseline"/>
        <w:rPr>
          <w:rFonts w:asciiTheme="majorHAnsi" w:eastAsia="Times New Roman" w:hAnsiTheme="majorHAnsi" w:cstheme="majorHAnsi"/>
          <w:color w:val="000000"/>
        </w:rPr>
      </w:pPr>
      <w:r w:rsidRPr="00FF1EA8">
        <w:rPr>
          <w:rFonts w:asciiTheme="majorHAnsi" w:eastAsia="Times New Roman" w:hAnsiTheme="majorHAnsi" w:cstheme="majorHAnsi"/>
          <w:color w:val="000000"/>
        </w:rPr>
        <w:t>….</w:t>
      </w:r>
    </w:p>
    <w:p w:rsidR="00B35905" w:rsidRPr="00FF1EA8" w:rsidRDefault="00B35905" w:rsidP="00FF1EA8">
      <w:pPr>
        <w:shd w:val="clear" w:color="auto" w:fill="FFFFFF"/>
        <w:spacing w:after="240" w:line="300" w:lineRule="atLeast"/>
        <w:textAlignment w:val="baseline"/>
        <w:rPr>
          <w:rFonts w:asciiTheme="majorHAnsi" w:eastAsia="Times New Roman" w:hAnsiTheme="majorHAnsi" w:cstheme="majorHAnsi"/>
          <w:color w:val="000000"/>
        </w:rPr>
      </w:pPr>
      <w:r w:rsidRPr="00FF1EA8">
        <w:rPr>
          <w:rFonts w:asciiTheme="majorHAnsi" w:eastAsia="Times New Roman" w:hAnsiTheme="majorHAnsi" w:cstheme="majorHAnsi"/>
          <w:color w:val="000000"/>
        </w:rPr>
        <w:t>It is disturbing that the destructive power of a zero grade is often the reason that teachers use it.  If the goal is to punish or compel, a zero is the ultimate numerical weapon.  When factored into the average of an otherwise consistent set of scores the results can be considerable.</w:t>
      </w:r>
    </w:p>
    <w:p w:rsidR="00B35905" w:rsidRPr="00FF1EA8" w:rsidRDefault="00B35905" w:rsidP="00FF1EA8">
      <w:pPr>
        <w:spacing w:after="240"/>
        <w:rPr>
          <w:rFonts w:asciiTheme="majorHAnsi" w:hAnsiTheme="majorHAnsi" w:cstheme="majorHAnsi"/>
          <w:i/>
        </w:rPr>
      </w:pPr>
      <w:r w:rsidRPr="00FF1EA8">
        <w:rPr>
          <w:rFonts w:asciiTheme="majorHAnsi" w:hAnsiTheme="majorHAnsi" w:cstheme="majorHAnsi"/>
          <w:i/>
        </w:rPr>
        <w:t>(He then gives examples of how one zero can be the difference between receiving a C or a failing report card grade.)</w:t>
      </w:r>
    </w:p>
    <w:p w:rsidR="00B35905" w:rsidRPr="00FF1EA8" w:rsidRDefault="00B35905" w:rsidP="00602ED0">
      <w:pPr>
        <w:rPr>
          <w:rFonts w:asciiTheme="majorHAnsi" w:hAnsiTheme="majorHAnsi" w:cstheme="majorHAnsi"/>
        </w:rPr>
      </w:pPr>
    </w:p>
    <w:p w:rsidR="00B35905" w:rsidRPr="00FF1EA8" w:rsidRDefault="00B35905" w:rsidP="00602ED0">
      <w:pPr>
        <w:rPr>
          <w:rFonts w:asciiTheme="majorHAnsi" w:hAnsiTheme="majorHAnsi" w:cstheme="majorHAnsi"/>
        </w:rPr>
      </w:pPr>
    </w:p>
    <w:p w:rsidR="00B35905" w:rsidRPr="00FF1EA8" w:rsidRDefault="00B35905" w:rsidP="00602ED0">
      <w:pPr>
        <w:rPr>
          <w:rFonts w:asciiTheme="majorHAnsi" w:hAnsiTheme="majorHAnsi" w:cstheme="majorHAnsi"/>
        </w:rPr>
      </w:pPr>
    </w:p>
    <w:p w:rsidR="00602ED0" w:rsidRPr="00FF1EA8" w:rsidRDefault="00602ED0" w:rsidP="00602ED0">
      <w:pPr>
        <w:rPr>
          <w:rFonts w:asciiTheme="majorHAnsi" w:hAnsiTheme="majorHAnsi" w:cstheme="majorHAnsi"/>
        </w:rPr>
      </w:pPr>
    </w:p>
    <w:p w:rsidR="00B35905" w:rsidRPr="00FF1EA8" w:rsidRDefault="00085CA8" w:rsidP="00602ED0">
      <w:pPr>
        <w:rPr>
          <w:rFonts w:asciiTheme="majorHAnsi" w:hAnsiTheme="majorHAnsi" w:cstheme="majorHAnsi"/>
        </w:rPr>
      </w:pPr>
      <w:r>
        <w:rPr>
          <w:rFonts w:asciiTheme="majorHAnsi" w:hAnsiTheme="majorHAnsi" w:cstheme="majorHAnsi"/>
        </w:rPr>
        <w:t xml:space="preserve">From Myron </w:t>
      </w:r>
      <w:proofErr w:type="spellStart"/>
      <w:r>
        <w:rPr>
          <w:rFonts w:asciiTheme="majorHAnsi" w:hAnsiTheme="majorHAnsi" w:cstheme="majorHAnsi"/>
        </w:rPr>
        <w:t>Dueck</w:t>
      </w:r>
      <w:proofErr w:type="spellEnd"/>
      <w:r>
        <w:rPr>
          <w:rFonts w:asciiTheme="majorHAnsi" w:hAnsiTheme="majorHAnsi" w:cstheme="majorHAnsi"/>
        </w:rPr>
        <w:t xml:space="preserve">, </w:t>
      </w:r>
      <w:r w:rsidR="00B35905" w:rsidRPr="00FF1EA8">
        <w:rPr>
          <w:rFonts w:asciiTheme="majorHAnsi" w:hAnsiTheme="majorHAnsi" w:cstheme="majorHAnsi"/>
          <w:i/>
        </w:rPr>
        <w:t>Grading Smarter Not Harder</w:t>
      </w:r>
      <w:r w:rsidR="00EC3458">
        <w:rPr>
          <w:rFonts w:asciiTheme="majorHAnsi" w:hAnsiTheme="majorHAnsi" w:cstheme="majorHAnsi"/>
        </w:rPr>
        <w:t xml:space="preserve">, </w:t>
      </w:r>
      <w:r w:rsidR="00B35905" w:rsidRPr="00FF1EA8">
        <w:rPr>
          <w:rFonts w:asciiTheme="majorHAnsi" w:hAnsiTheme="majorHAnsi" w:cstheme="majorHAnsi"/>
        </w:rPr>
        <w:t>pp. 11-19.</w:t>
      </w:r>
    </w:p>
    <w:sectPr w:rsidR="00B35905" w:rsidRPr="00FF1EA8" w:rsidSect="00085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5BCD"/>
    <w:multiLevelType w:val="multilevel"/>
    <w:tmpl w:val="3F6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12DCF"/>
    <w:multiLevelType w:val="hybridMultilevel"/>
    <w:tmpl w:val="51BA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D0"/>
    <w:rsid w:val="00085CA8"/>
    <w:rsid w:val="00253950"/>
    <w:rsid w:val="00445590"/>
    <w:rsid w:val="005745FA"/>
    <w:rsid w:val="00602ED0"/>
    <w:rsid w:val="006D5CD0"/>
    <w:rsid w:val="00917ECF"/>
    <w:rsid w:val="009556D1"/>
    <w:rsid w:val="00B20692"/>
    <w:rsid w:val="00B35905"/>
    <w:rsid w:val="00C06F55"/>
    <w:rsid w:val="00D77E8E"/>
    <w:rsid w:val="00E83697"/>
    <w:rsid w:val="00EC3458"/>
    <w:rsid w:val="00FC6A23"/>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97E91"/>
  <w14:defaultImageDpi w14:val="300"/>
  <w15:docId w15:val="{B36734A7-4E79-42FF-9B1D-15D0301E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6F5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E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ED0"/>
    <w:rPr>
      <w:rFonts w:ascii="Lucida Grande" w:hAnsi="Lucida Grande" w:cs="Lucida Grande"/>
      <w:sz w:val="18"/>
      <w:szCs w:val="18"/>
    </w:rPr>
  </w:style>
  <w:style w:type="character" w:customStyle="1" w:styleId="Heading2Char">
    <w:name w:val="Heading 2 Char"/>
    <w:basedOn w:val="DefaultParagraphFont"/>
    <w:link w:val="Heading2"/>
    <w:uiPriority w:val="9"/>
    <w:rsid w:val="00C06F55"/>
    <w:rPr>
      <w:rFonts w:ascii="Times" w:hAnsi="Times"/>
      <w:b/>
      <w:bCs/>
      <w:sz w:val="36"/>
      <w:szCs w:val="36"/>
    </w:rPr>
  </w:style>
  <w:style w:type="paragraph" w:styleId="NormalWeb">
    <w:name w:val="Normal (Web)"/>
    <w:basedOn w:val="Normal"/>
    <w:uiPriority w:val="99"/>
    <w:semiHidden/>
    <w:unhideWhenUsed/>
    <w:rsid w:val="00C06F5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F1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044">
      <w:bodyDiv w:val="1"/>
      <w:marLeft w:val="0"/>
      <w:marRight w:val="0"/>
      <w:marTop w:val="0"/>
      <w:marBottom w:val="0"/>
      <w:divBdr>
        <w:top w:val="none" w:sz="0" w:space="0" w:color="auto"/>
        <w:left w:val="none" w:sz="0" w:space="0" w:color="auto"/>
        <w:bottom w:val="none" w:sz="0" w:space="0" w:color="auto"/>
        <w:right w:val="none" w:sz="0" w:space="0" w:color="auto"/>
      </w:divBdr>
    </w:div>
    <w:div w:id="760643384">
      <w:bodyDiv w:val="1"/>
      <w:marLeft w:val="0"/>
      <w:marRight w:val="0"/>
      <w:marTop w:val="0"/>
      <w:marBottom w:val="0"/>
      <w:divBdr>
        <w:top w:val="none" w:sz="0" w:space="0" w:color="auto"/>
        <w:left w:val="none" w:sz="0" w:space="0" w:color="auto"/>
        <w:bottom w:val="none" w:sz="0" w:space="0" w:color="auto"/>
        <w:right w:val="none" w:sz="0" w:space="0" w:color="auto"/>
      </w:divBdr>
      <w:divsChild>
        <w:div w:id="670525996">
          <w:blockQuote w:val="1"/>
          <w:marLeft w:val="330"/>
          <w:marRight w:val="225"/>
          <w:marTop w:val="225"/>
          <w:marBottom w:val="22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JHU</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Muskauski</dc:creator>
  <cp:keywords/>
  <dc:description/>
  <cp:lastModifiedBy>Emily Clark</cp:lastModifiedBy>
  <cp:revision>6</cp:revision>
  <cp:lastPrinted>2020-02-28T17:01:00Z</cp:lastPrinted>
  <dcterms:created xsi:type="dcterms:W3CDTF">2017-07-17T12:49:00Z</dcterms:created>
  <dcterms:modified xsi:type="dcterms:W3CDTF">2020-02-28T17:06:00Z</dcterms:modified>
</cp:coreProperties>
</file>